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9104F" w14:textId="3E276AF7" w:rsidR="00693119" w:rsidRPr="00C2552A" w:rsidRDefault="00B60294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6B2F95">
        <w:rPr>
          <w:rFonts w:ascii="Open Sans Light" w:hAnsi="Open Sans Light" w:cs="Open Sans Light"/>
          <w:noProof/>
          <w:color w:val="000000"/>
          <w:sz w:val="22"/>
          <w:szCs w:val="22"/>
        </w:rPr>
        <w:drawing>
          <wp:inline distT="0" distB="0" distL="0" distR="0" wp14:anchorId="093F5ED3" wp14:editId="63E7A23B">
            <wp:extent cx="5760720" cy="739028"/>
            <wp:effectExtent l="0" t="0" r="0" b="4445"/>
            <wp:docPr id="425968146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968146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3A0E8ACA" w:rsidR="008F049C" w:rsidRPr="00C2552A" w:rsidRDefault="00B60294" w:rsidP="00C208AF">
      <w:pPr>
        <w:pStyle w:val="Tytu"/>
        <w:spacing w:before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projektu</w:t>
      </w:r>
      <w:r w:rsidR="000E0D1E" w:rsidRPr="00C2552A">
        <w:rPr>
          <w:rFonts w:ascii="Open Sans Light" w:hAnsi="Open Sans Light" w:cs="Open Sans Light"/>
        </w:rPr>
        <w:t xml:space="preserve">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7FE1A94" w14:textId="77777777" w:rsidR="0068657F" w:rsidRDefault="00B60294" w:rsidP="00D92C1C">
      <w:pPr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>
        <w:rPr>
          <w:rFonts w:ascii="Open Sans Light" w:hAnsi="Open Sans Light" w:cs="Open Sans Light"/>
          <w:b/>
          <w:bCs/>
          <w:kern w:val="28"/>
          <w:sz w:val="32"/>
          <w:szCs w:val="32"/>
        </w:rPr>
        <w:t>KRAJOWEGO PLANU ODBUDOWY</w:t>
      </w:r>
      <w:r w:rsidR="0068657F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 </w:t>
      </w:r>
    </w:p>
    <w:p w14:paraId="60F4B64B" w14:textId="7B4D8541" w:rsidR="00693119" w:rsidRPr="00C2552A" w:rsidRDefault="0068657F" w:rsidP="00D92C1C">
      <w:pPr>
        <w:jc w:val="center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/>
          <w:bCs/>
          <w:kern w:val="28"/>
          <w:sz w:val="32"/>
          <w:szCs w:val="32"/>
        </w:rPr>
        <w:t>I ZWIĘKSZANIA ODPORNOŚCI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5F5FC18E" w14:textId="797C7109" w:rsidR="0076363B" w:rsidRDefault="00B60294" w:rsidP="00B6029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60294">
        <w:rPr>
          <w:rFonts w:ascii="Open Sans Light" w:hAnsi="Open Sans Light" w:cs="Open Sans Light"/>
          <w:b/>
          <w:sz w:val="22"/>
          <w:szCs w:val="22"/>
        </w:rPr>
        <w:t>Inwestycja:</w:t>
      </w:r>
      <w:r>
        <w:rPr>
          <w:rFonts w:ascii="Open Sans Light" w:hAnsi="Open Sans Light" w:cs="Open Sans Light"/>
          <w:sz w:val="22"/>
          <w:szCs w:val="22"/>
        </w:rPr>
        <w:t xml:space="preserve"> </w:t>
      </w:r>
      <w:r w:rsidR="00CD3C60" w:rsidRPr="00CD3C60">
        <w:rPr>
          <w:rFonts w:ascii="Open Sans Light" w:hAnsi="Open Sans Light" w:cs="Open Sans Light"/>
          <w:sz w:val="22"/>
          <w:szCs w:val="22"/>
        </w:rPr>
        <w:t>G1.1.3. „Systemy magazynowania energii”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3042DF3D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="00CD3C60" w:rsidRPr="00CD3C60">
        <w:rPr>
          <w:rFonts w:ascii="Open Sans Light" w:hAnsi="Open Sans Light" w:cs="Open Sans Light"/>
        </w:rPr>
        <w:t>KPOD.12.03 -IW.04-001/24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4914BA0C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DA4510">
        <w:rPr>
          <w:rFonts w:ascii="Open Sans Light" w:hAnsi="Open Sans Light" w:cs="Open Sans Light"/>
          <w:b/>
          <w:bCs/>
          <w:kern w:val="32"/>
        </w:rPr>
        <w:t>/zmianie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044967FA" w:rsidR="005407B9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F26979F" w14:textId="43C4F656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62B0B58" w14:textId="7D0404C0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E373995" w14:textId="56F9DE99" w:rsidR="00B60294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58636F25" w14:textId="77777777" w:rsidR="00C419E0" w:rsidRDefault="00C419E0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C61CCF9" w14:textId="09CDAF08" w:rsidR="00C419E0" w:rsidRDefault="00C419E0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EFD1F41" w14:textId="77777777" w:rsidR="00603869" w:rsidRDefault="0060386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ADD72AA" w14:textId="77777777" w:rsidR="00B60294" w:rsidRPr="00C2552A" w:rsidRDefault="00B60294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476F0E6" w14:textId="77777777" w:rsidR="000F1DBD" w:rsidRPr="00C2552A" w:rsidRDefault="000F1DBD" w:rsidP="000F1DBD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bookmarkStart w:id="0" w:name="_Hlk140483474"/>
      <w:r w:rsidRPr="00C2552A">
        <w:rPr>
          <w:rFonts w:ascii="Open Sans Light" w:hAnsi="Open Sans Light" w:cs="Open Sans Light"/>
          <w:b/>
          <w:bCs/>
          <w:sz w:val="28"/>
          <w:szCs w:val="28"/>
        </w:rPr>
        <w:lastRenderedPageBreak/>
        <w:t xml:space="preserve">Kryteria </w:t>
      </w:r>
      <w:r>
        <w:rPr>
          <w:rFonts w:ascii="Open Sans Light" w:hAnsi="Open Sans Light" w:cs="Open Sans Light"/>
          <w:b/>
          <w:bCs/>
          <w:sz w:val="28"/>
          <w:szCs w:val="28"/>
        </w:rPr>
        <w:t>horyzontalne</w:t>
      </w:r>
    </w:p>
    <w:p w14:paraId="4B9361DC" w14:textId="2BE280A8" w:rsidR="00532415" w:rsidRPr="00D44DC8" w:rsidRDefault="00592FE4" w:rsidP="00F67E11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="00F67E11" w:rsidRPr="00F67E11">
        <w:rPr>
          <w:rFonts w:ascii="Open Sans Light" w:hAnsi="Open Sans Light" w:cs="Open Sans Light"/>
          <w:b/>
          <w:sz w:val="20"/>
          <w:szCs w:val="20"/>
        </w:rPr>
        <w:t>Zgodność z ramami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czasowymi planu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rozwojowego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80"/>
      </w:tblGrid>
      <w:tr w:rsidR="002C4511" w:rsidRPr="00D44DC8" w14:paraId="413A78BC" w14:textId="77777777" w:rsidTr="00C419E0">
        <w:tc>
          <w:tcPr>
            <w:tcW w:w="959" w:type="dxa"/>
            <w:shd w:val="clear" w:color="auto" w:fill="E2EFD9"/>
            <w:vAlign w:val="center"/>
          </w:tcPr>
          <w:p w14:paraId="4F64FB44" w14:textId="77777777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17E8E2B2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 Nie</w:t>
            </w:r>
          </w:p>
        </w:tc>
        <w:tc>
          <w:tcPr>
            <w:tcW w:w="2580" w:type="dxa"/>
            <w:shd w:val="clear" w:color="auto" w:fill="E2EFD9"/>
            <w:vAlign w:val="center"/>
          </w:tcPr>
          <w:p w14:paraId="142DEF1A" w14:textId="4B47A6A2" w:rsidR="002C4511" w:rsidRPr="00D44DC8" w:rsidRDefault="002C4511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2C4511" w:rsidRPr="00D44DC8" w14:paraId="4A6CBF70" w14:textId="77777777" w:rsidTr="00C419E0">
        <w:trPr>
          <w:trHeight w:val="544"/>
        </w:trPr>
        <w:tc>
          <w:tcPr>
            <w:tcW w:w="959" w:type="dxa"/>
          </w:tcPr>
          <w:p w14:paraId="7B36984A" w14:textId="77777777" w:rsidR="002C4511" w:rsidRPr="00D44DC8" w:rsidRDefault="002C4511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31582C7" w14:textId="128768CE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C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zy harmonogram realizacji</w:t>
            </w:r>
          </w:p>
          <w:p w14:paraId="3B46D2CD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przedsięwzięcia nie przekracza ram czasowych</w:t>
            </w:r>
          </w:p>
          <w:p w14:paraId="2711D964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kwalifikowalności przedsięwzięć określonych w</w:t>
            </w:r>
          </w:p>
          <w:p w14:paraId="72CD9FC6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następujących dokumentach tj.:</w:t>
            </w:r>
          </w:p>
          <w:p w14:paraId="557775F3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- rozporządzeniu RRF – kwalifikowalne</w:t>
            </w:r>
          </w:p>
          <w:p w14:paraId="0A084D80" w14:textId="0879A5B6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przedsięwzięcie może się zacząć nie wcześniej niż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01.02.2020 r. i zakończyć nie później niż 31.08.2026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r.</w:t>
            </w: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;</w:t>
            </w:r>
          </w:p>
          <w:p w14:paraId="7B91E670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- planie rozwojowym – uzgodniony w planie</w:t>
            </w:r>
          </w:p>
          <w:p w14:paraId="274246B5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rozwojowym (w tym w odpowiedniej decyzji</w:t>
            </w:r>
          </w:p>
          <w:p w14:paraId="349F5683" w14:textId="77777777" w:rsidR="002C4511" w:rsidRPr="00F67E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implementacyjnej Rady UE) termin realizacji</w:t>
            </w:r>
          </w:p>
          <w:p w14:paraId="6C178447" w14:textId="77777777" w:rsidR="002C4511" w:rsidRDefault="002C4511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67E11">
              <w:rPr>
                <w:rFonts w:ascii="Open Sans Light" w:hAnsi="Open Sans Light" w:cs="Open Sans Light"/>
                <w:b/>
                <w:sz w:val="20"/>
                <w:szCs w:val="20"/>
              </w:rPr>
              <w:t>inwestycji i przedsięwzięcia.</w:t>
            </w:r>
          </w:p>
          <w:p w14:paraId="787D4079" w14:textId="7D289FDA" w:rsidR="00974928" w:rsidRPr="00D44DC8" w:rsidRDefault="00974928" w:rsidP="00F67E11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- rozporządzeniu Ministra Klimatu i Środowiska </w:t>
            </w:r>
            <w:r w:rsidRPr="00974928">
              <w:rPr>
                <w:rFonts w:ascii="Open Sans Light" w:hAnsi="Open Sans Light" w:cs="Open Sans Light"/>
                <w:b/>
                <w:sz w:val="20"/>
                <w:szCs w:val="20"/>
              </w:rPr>
              <w:t>w sprawie udzielania pomocy publicznej na rozwój magazynowania energii elektrycznej w ramach Krajowego Planu Odbudowy i Zwiększania Odporności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z 28 stycznia 2025 r. -  </w:t>
            </w:r>
            <w:r w:rsidRPr="00974928">
              <w:rPr>
                <w:rFonts w:ascii="Open Sans Light" w:hAnsi="Open Sans Light" w:cs="Open Sans Light"/>
                <w:b/>
                <w:sz w:val="20"/>
                <w:szCs w:val="20"/>
              </w:rPr>
              <w:t>ukończenie projektu inwestycyjnego i rozpoczęcie jego eksploatacji nastąpi w ciągu 36 miesięcy od dnia udzielenia pomocy.</w:t>
            </w:r>
          </w:p>
        </w:tc>
        <w:tc>
          <w:tcPr>
            <w:tcW w:w="1134" w:type="dxa"/>
          </w:tcPr>
          <w:p w14:paraId="781F49E1" w14:textId="77777777" w:rsidR="002C4511" w:rsidRPr="00D44DC8" w:rsidRDefault="002C4511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0" w:type="dxa"/>
          </w:tcPr>
          <w:p w14:paraId="63623A8B" w14:textId="54F410D1" w:rsidR="002C4511" w:rsidRPr="00D44DC8" w:rsidRDefault="002C4511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6888E93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47AA1BEC" w:rsidR="00A24CF0" w:rsidRPr="00D44DC8" w:rsidRDefault="00CB4B5F" w:rsidP="00F67E11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="00F67E11" w:rsidRPr="00F67E11">
        <w:rPr>
          <w:rFonts w:ascii="Open Sans Light" w:hAnsi="Open Sans Light" w:cs="Open Sans Light"/>
          <w:b/>
          <w:sz w:val="20"/>
          <w:szCs w:val="20"/>
        </w:rPr>
        <w:t>Zgodność z planem</w:t>
      </w:r>
      <w:r w:rsidR="00F67E11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F67E11" w:rsidRPr="00F67E11">
        <w:rPr>
          <w:rFonts w:ascii="Open Sans Light" w:hAnsi="Open Sans Light" w:cs="Open Sans Light"/>
          <w:b/>
          <w:sz w:val="20"/>
          <w:szCs w:val="20"/>
        </w:rPr>
        <w:t>rozwojowym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D9A3A16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2629628" w14:textId="77777777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Czy przedsięwzięcie jest zgodne z rodzajem</w:t>
            </w:r>
          </w:p>
          <w:p w14:paraId="55416CAA" w14:textId="7134B583" w:rsidR="00927ADD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przedsięwzięć przewidzianym w opisie właściwego komponentu planu rozwojowego?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67E11" w:rsidRPr="00D44DC8" w14:paraId="7DF58932" w14:textId="77777777" w:rsidTr="0019790C">
        <w:trPr>
          <w:trHeight w:val="544"/>
        </w:trPr>
        <w:tc>
          <w:tcPr>
            <w:tcW w:w="959" w:type="dxa"/>
          </w:tcPr>
          <w:p w14:paraId="106C5F49" w14:textId="77777777" w:rsidR="00F67E11" w:rsidRPr="00D44DC8" w:rsidRDefault="00F67E11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890220D" w14:textId="6926ECCE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Czy nie przekroczono pułapu maksymalnego poziomu finansowania dla danego typu przedsięwzięcia?</w:t>
            </w:r>
          </w:p>
        </w:tc>
        <w:tc>
          <w:tcPr>
            <w:tcW w:w="1304" w:type="dxa"/>
          </w:tcPr>
          <w:p w14:paraId="3C771ED8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40E7214E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67E11" w:rsidRPr="00D44DC8" w14:paraId="5BDA67F9" w14:textId="77777777" w:rsidTr="0019790C">
        <w:trPr>
          <w:trHeight w:val="544"/>
        </w:trPr>
        <w:tc>
          <w:tcPr>
            <w:tcW w:w="959" w:type="dxa"/>
          </w:tcPr>
          <w:p w14:paraId="23D41CFE" w14:textId="77777777" w:rsidR="00F67E11" w:rsidRPr="00D44DC8" w:rsidRDefault="00F67E11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69009C" w14:textId="286548F7" w:rsidR="00F67E11" w:rsidRPr="00704FE2" w:rsidRDefault="00F67E11" w:rsidP="00F67E11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Czy ostateczny odbiorca składający wniosek o objęcie wsparciem jest uprawniony do ubiegania się przyznanie dofinansowania i nie jest wykluczony z dofinansowania na podstawie art. 207 ustawy z dnia 27 sierpnia 2009 r. o finansach publicznych (Dz. U. z 2021 r. poz. 305, 1236 i 1535 wraz z </w:t>
            </w:r>
            <w:proofErr w:type="spellStart"/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późn</w:t>
            </w:r>
            <w:proofErr w:type="spellEnd"/>
            <w:r w:rsidRPr="00704FE2">
              <w:rPr>
                <w:rFonts w:ascii="Open Sans Light" w:hAnsi="Open Sans Light" w:cs="Open Sans Light"/>
                <w:b/>
                <w:sz w:val="20"/>
                <w:szCs w:val="20"/>
              </w:rPr>
              <w:t>. zm.)?.</w:t>
            </w:r>
          </w:p>
        </w:tc>
        <w:tc>
          <w:tcPr>
            <w:tcW w:w="1304" w:type="dxa"/>
          </w:tcPr>
          <w:p w14:paraId="26492D53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605C9C05" w14:textId="77777777" w:rsidR="00F67E11" w:rsidRPr="00D44DC8" w:rsidRDefault="00F67E11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06E00744" w14:textId="381F25A4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116B9BC" w:rsidR="00805807" w:rsidRPr="00D44DC8" w:rsidRDefault="00805807" w:rsidP="00704FE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Brak podwójnego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7E90D2F" w14:textId="64D440E2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>
              <w:rPr>
                <w:rFonts w:ascii="Open Sans Light" w:hAnsi="Open Sans Light" w:cs="Open Sans Light"/>
                <w:b/>
                <w:bCs/>
              </w:rPr>
              <w:t>C</w:t>
            </w:r>
            <w:r w:rsidRPr="00704FE2">
              <w:rPr>
                <w:rFonts w:ascii="Open Sans Light" w:hAnsi="Open Sans Light" w:cs="Open Sans Light"/>
                <w:b/>
                <w:bCs/>
              </w:rPr>
              <w:t>zy ostateczny odbiorca nie otrzymał już</w:t>
            </w:r>
          </w:p>
          <w:p w14:paraId="52AB967F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finansowania na ten sam cel w ramach planu</w:t>
            </w:r>
          </w:p>
          <w:p w14:paraId="1BB9587C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rozwojowego lub innych unijnych programów,</w:t>
            </w:r>
          </w:p>
          <w:p w14:paraId="3084586D" w14:textId="77777777" w:rsidR="00704FE2" w:rsidRPr="00704FE2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t>instrumentów, funduszy w ramach budżetu Unii</w:t>
            </w:r>
          </w:p>
          <w:p w14:paraId="4CB6A5A2" w14:textId="50BD33E4" w:rsidR="00927ADD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704FE2">
              <w:rPr>
                <w:rFonts w:ascii="Open Sans Light" w:hAnsi="Open Sans Light" w:cs="Open Sans Light"/>
                <w:b/>
                <w:bCs/>
              </w:rPr>
              <w:lastRenderedPageBreak/>
              <w:t>Europejskiej na realizację zakresu prac zakładanego w</w:t>
            </w:r>
            <w:r>
              <w:rPr>
                <w:rFonts w:ascii="Open Sans Light" w:hAnsi="Open Sans Light" w:cs="Open Sans Light"/>
                <w:b/>
                <w:bCs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</w:rPr>
              <w:t>ramach realizacji przedsięwzięcia</w:t>
            </w:r>
            <w:r>
              <w:rPr>
                <w:rFonts w:ascii="Open Sans Light" w:hAnsi="Open Sans Light" w:cs="Open Sans Light"/>
                <w:b/>
                <w:bCs/>
              </w:rPr>
              <w:t>?</w:t>
            </w:r>
          </w:p>
          <w:p w14:paraId="6056D5F7" w14:textId="59AE7EB1" w:rsidR="00704FE2" w:rsidRPr="00D44DC8" w:rsidRDefault="00704FE2" w:rsidP="00704FE2">
            <w:pPr>
              <w:pStyle w:val="Tekstkomentarza"/>
              <w:jc w:val="both"/>
              <w:rPr>
                <w:rFonts w:ascii="Open Sans Light" w:hAnsi="Open Sans Light" w:cs="Open Sans Light"/>
                <w:b/>
                <w:bCs/>
              </w:rPr>
            </w:pPr>
            <w:r>
              <w:rPr>
                <w:rFonts w:ascii="Open Sans Light" w:hAnsi="Open Sans Light" w:cs="Open Sans Light"/>
                <w:b/>
                <w:bCs/>
              </w:rPr>
              <w:t>(</w:t>
            </w:r>
            <w:r w:rsidRPr="00704FE2">
              <w:rPr>
                <w:rFonts w:ascii="Open Sans Light" w:hAnsi="Open Sans Light" w:cs="Open Sans Light"/>
                <w:bCs/>
              </w:rPr>
              <w:t>weryfikacja na podstawie oświadczenia)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FB6302A" w14:textId="77777777" w:rsidR="00436C1E" w:rsidRDefault="00436C1E" w:rsidP="00704FE2">
      <w:pPr>
        <w:rPr>
          <w:rFonts w:ascii="Open Sans Light" w:hAnsi="Open Sans Light" w:cs="Open Sans Light"/>
          <w:b/>
          <w:sz w:val="20"/>
          <w:szCs w:val="20"/>
        </w:rPr>
      </w:pPr>
    </w:p>
    <w:p w14:paraId="5160743D" w14:textId="77777777" w:rsidR="00436C1E" w:rsidRDefault="00436C1E" w:rsidP="00704FE2">
      <w:pPr>
        <w:rPr>
          <w:rFonts w:ascii="Open Sans Light" w:hAnsi="Open Sans Light" w:cs="Open Sans Light"/>
          <w:b/>
          <w:sz w:val="20"/>
          <w:szCs w:val="20"/>
        </w:rPr>
      </w:pPr>
    </w:p>
    <w:p w14:paraId="75EC938C" w14:textId="2C6C4A05" w:rsidR="00704FE2" w:rsidRPr="00704FE2" w:rsidRDefault="00246485" w:rsidP="00704FE2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4.   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Spójność informacji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zawartych we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wniosku o objęcie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wsparciem,</w:t>
      </w:r>
    </w:p>
    <w:p w14:paraId="5E777509" w14:textId="6FD9A848" w:rsidR="00433A0C" w:rsidRPr="00D44DC8" w:rsidRDefault="00704FE2" w:rsidP="00704FE2">
      <w:pPr>
        <w:rPr>
          <w:rFonts w:ascii="Open Sans Light" w:hAnsi="Open Sans Light" w:cs="Open Sans Light"/>
          <w:b/>
          <w:sz w:val="20"/>
          <w:szCs w:val="20"/>
        </w:rPr>
      </w:pPr>
      <w:r w:rsidRPr="00704FE2">
        <w:rPr>
          <w:rFonts w:ascii="Open Sans Light" w:hAnsi="Open Sans Light" w:cs="Open Sans Light"/>
          <w:b/>
          <w:sz w:val="20"/>
          <w:szCs w:val="20"/>
        </w:rPr>
        <w:t>załącznikach do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wniosku o objęcie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wsparciem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C5B111B" w14:textId="222850C0" w:rsidR="00927ADD" w:rsidRPr="00D44DC8" w:rsidRDefault="00704FE2" w:rsidP="00704FE2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informacje zawarte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we wniosku o objęcie wsparciem,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oświadczeniach oraz załącznikach do wniosku 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są spójne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5AF181F0" w14:textId="5CEA08E4" w:rsidR="00704FE2" w:rsidRPr="00704FE2" w:rsidRDefault="00246485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  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Zachowanie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zgodności z zasadą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równości szans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i niedyskryminacji</w:t>
      </w:r>
    </w:p>
    <w:p w14:paraId="40BAE344" w14:textId="239C9978" w:rsidR="00AF5C56" w:rsidRPr="00D44DC8" w:rsidRDefault="00704FE2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704FE2">
        <w:rPr>
          <w:rFonts w:ascii="Open Sans Light" w:hAnsi="Open Sans Light" w:cs="Open Sans Light"/>
          <w:b/>
          <w:sz w:val="20"/>
          <w:szCs w:val="20"/>
        </w:rPr>
        <w:t>oraz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równości szans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704FE2">
        <w:rPr>
          <w:rFonts w:ascii="Open Sans Light" w:hAnsi="Open Sans Light" w:cs="Open Sans Light"/>
          <w:b/>
          <w:sz w:val="20"/>
          <w:szCs w:val="20"/>
        </w:rPr>
        <w:t>kobiet i mężczyzn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8ECD47" w14:textId="17D13911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przedsięwzięcie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jest zgodne z zasadą równości szans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 niedyskryminacji oraz zasadą równości szans kobiet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 mężczyzn?</w:t>
            </w:r>
            <w:r w:rsidR="002C4511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1"/>
            </w:r>
          </w:p>
          <w:p w14:paraId="6FB8E575" w14:textId="77E9DDA0" w:rsidR="005F4C71" w:rsidRPr="00D44DC8" w:rsidRDefault="005F4C71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4FE2" w:rsidRPr="00D44DC8" w14:paraId="63BFFF2D" w14:textId="77777777" w:rsidTr="00375C8C">
        <w:trPr>
          <w:trHeight w:val="544"/>
        </w:trPr>
        <w:tc>
          <w:tcPr>
            <w:tcW w:w="959" w:type="dxa"/>
          </w:tcPr>
          <w:p w14:paraId="46A3DE3F" w14:textId="77777777" w:rsidR="00704FE2" w:rsidRPr="00D44DC8" w:rsidRDefault="00704FE2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15A6080" w14:textId="3FCFE8DD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przedsięwzięcie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zapewnia dostępność produktów przedsięwzięcia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la osób z niepełnosprawnościami?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C4511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2"/>
            </w:r>
          </w:p>
          <w:p w14:paraId="1791DEF8" w14:textId="5DDA3721" w:rsid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39FE4" w14:textId="77777777" w:rsidR="00704FE2" w:rsidRPr="00D44DC8" w:rsidRDefault="00704FE2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B9D8D4" w14:textId="77777777" w:rsidR="00704FE2" w:rsidRPr="00D44DC8" w:rsidRDefault="00704FE2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29D150B7" w:rsidR="006114C6" w:rsidRPr="00D44DC8" w:rsidRDefault="00D836AC" w:rsidP="00704FE2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704FE2">
        <w:rPr>
          <w:rFonts w:ascii="Open Sans Light" w:hAnsi="Open Sans Light" w:cs="Open Sans Light"/>
          <w:b/>
          <w:sz w:val="20"/>
          <w:szCs w:val="20"/>
        </w:rPr>
        <w:t>6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Właściwie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określone wydatki</w:t>
      </w:r>
      <w:r w:rsidR="00704FE2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04FE2" w:rsidRPr="00704FE2">
        <w:rPr>
          <w:rFonts w:ascii="Open Sans Light" w:hAnsi="Open Sans Light" w:cs="Open Sans Light"/>
          <w:b/>
          <w:sz w:val="20"/>
          <w:szCs w:val="20"/>
        </w:rPr>
        <w:t>kwalifikowalne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1E9C2E37" w14:textId="57793061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VAT nie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jest wydatkiem kwalifikowalnym?</w:t>
            </w:r>
          </w:p>
          <w:p w14:paraId="4D39BCAB" w14:textId="3AD83A98" w:rsidR="006114C6" w:rsidRPr="00704FE2" w:rsidRDefault="006114C6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4FE2" w:rsidRPr="00D44DC8" w14:paraId="68EDF732" w14:textId="77777777" w:rsidTr="00833092">
        <w:trPr>
          <w:trHeight w:val="544"/>
        </w:trPr>
        <w:tc>
          <w:tcPr>
            <w:tcW w:w="959" w:type="dxa"/>
          </w:tcPr>
          <w:p w14:paraId="5B4735C0" w14:textId="62416D89" w:rsidR="00704FE2" w:rsidRPr="00D44DC8" w:rsidRDefault="00704FE2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5B97F3CB" w14:textId="11C50715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bieżące wydatki publiczne nie są wydatkami</w:t>
            </w:r>
          </w:p>
          <w:p w14:paraId="6F709127" w14:textId="3BF72B79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Kwalifikowalnymi?  (w tym koszty instytucji</w:t>
            </w:r>
          </w:p>
          <w:p w14:paraId="05AEE80E" w14:textId="2E268FCF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publicznych oraz administracji publicznej, związane z bieżącą obsługą przygotowania i realizacji reform</w:t>
            </w:r>
          </w:p>
          <w:p w14:paraId="220926C5" w14:textId="77777777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 inwestycji w ramach planu rozwojowego (w tym</w:t>
            </w:r>
          </w:p>
          <w:p w14:paraId="55E5FE56" w14:textId="7BBD8AD3" w:rsidR="00704FE2" w:rsidRPr="00704FE2" w:rsidRDefault="00704FE2" w:rsidP="00704FE2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wynagrodzenia urzędników)</w:t>
            </w:r>
          </w:p>
        </w:tc>
        <w:tc>
          <w:tcPr>
            <w:tcW w:w="1134" w:type="dxa"/>
          </w:tcPr>
          <w:p w14:paraId="735AFF2F" w14:textId="77777777" w:rsidR="00704FE2" w:rsidRPr="00D44DC8" w:rsidRDefault="00704FE2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FC9508" w14:textId="77777777" w:rsidR="00704FE2" w:rsidRPr="00D44DC8" w:rsidRDefault="00704FE2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A1CF9" w:rsidRPr="00D44DC8" w14:paraId="3676636A" w14:textId="77777777" w:rsidTr="00833092">
        <w:trPr>
          <w:trHeight w:val="544"/>
        </w:trPr>
        <w:tc>
          <w:tcPr>
            <w:tcW w:w="959" w:type="dxa"/>
          </w:tcPr>
          <w:p w14:paraId="327218BA" w14:textId="23E87FE5" w:rsidR="008A1CF9" w:rsidRPr="008A1CF9" w:rsidRDefault="008A1CF9" w:rsidP="008A1CF9">
            <w:pPr>
              <w:pStyle w:val="Akapitzlist"/>
              <w:numPr>
                <w:ilvl w:val="0"/>
                <w:numId w:val="6"/>
              </w:numPr>
              <w:ind w:left="450" w:right="-280" w:hanging="180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5B90D88" w14:textId="1B8D7521" w:rsidR="008A1CF9" w:rsidRPr="00704FE2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koszty finansowane w ramach planu rozwojowego są powiązane z realizacją prac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stanowiących integralną część inwestycji i służą zapewnieniu osiągnięcia jej celów?</w:t>
            </w:r>
          </w:p>
        </w:tc>
        <w:tc>
          <w:tcPr>
            <w:tcW w:w="1134" w:type="dxa"/>
          </w:tcPr>
          <w:p w14:paraId="2748D1EE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AA61CB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A1CF9" w:rsidRPr="00D44DC8" w14:paraId="33E3FA92" w14:textId="77777777" w:rsidTr="00833092">
        <w:trPr>
          <w:trHeight w:val="544"/>
        </w:trPr>
        <w:tc>
          <w:tcPr>
            <w:tcW w:w="959" w:type="dxa"/>
          </w:tcPr>
          <w:p w14:paraId="6736892A" w14:textId="1613EEAE" w:rsidR="008A1CF9" w:rsidRPr="00D44DC8" w:rsidRDefault="008A1CF9" w:rsidP="008A1CF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14:paraId="3238F1AA" w14:textId="738B2C6A" w:rsidR="008A1CF9" w:rsidRPr="00704FE2" w:rsidRDefault="008A1CF9" w:rsidP="008A1CF9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</w:t>
            </w:r>
            <w:r>
              <w:t xml:space="preserve">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realizacji przedsięwzięć 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uwzględniono właściwe </w:t>
            </w:r>
            <w:r w:rsidR="00FD006B"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przepis</w:t>
            </w:r>
            <w:r w:rsidR="00FD006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y </w:t>
            </w:r>
            <w:r w:rsidRPr="00704FE2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 zamówieniach publicznych (dla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podmiotów zobowiązanych do stosowania PZP) lub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reguł konkurencyjności dla podmiotów niezobowiązanych do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A1CF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stosowania PZP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D9BE5B1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C79675" w14:textId="77777777" w:rsidR="008A1CF9" w:rsidRPr="00D44DC8" w:rsidRDefault="008A1CF9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2272A638" w14:textId="77777777" w:rsidR="008A1CF9" w:rsidRDefault="008A1CF9" w:rsidP="00F216E3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0817AB5E" w14:textId="77777777" w:rsidR="000F1DBD" w:rsidRPr="00C419E0" w:rsidRDefault="000F1DBD" w:rsidP="000F1DBD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C419E0">
        <w:rPr>
          <w:rFonts w:ascii="Open Sans Light" w:hAnsi="Open Sans Light" w:cs="Open Sans Light"/>
          <w:b/>
          <w:sz w:val="20"/>
          <w:szCs w:val="20"/>
        </w:rPr>
        <w:t>Kryterium horyzontalne nr 7.</w:t>
      </w:r>
      <w:r w:rsidRPr="00C419E0">
        <w:rPr>
          <w:rFonts w:ascii="Open Sans Light" w:hAnsi="Open Sans Light" w:cs="Open Sans Light"/>
          <w:b/>
          <w:sz w:val="20"/>
          <w:szCs w:val="20"/>
        </w:rPr>
        <w:tab/>
        <w:t>Sytuacja finansowa ostatecznego odbiorcy i wykonalność finansowa przedsięwzięcia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C419E0" w:rsidRPr="00C419E0" w14:paraId="72D8E25B" w14:textId="77777777" w:rsidTr="000F1DB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15E69B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63C774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8B92773" w14:textId="29A10A83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22B5141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C419E0" w:rsidRPr="00C419E0" w14:paraId="3BA608AB" w14:textId="77777777" w:rsidTr="000F1DBD">
        <w:trPr>
          <w:trHeight w:val="5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C2A9" w14:textId="77777777" w:rsidR="000F1DBD" w:rsidRPr="00C419E0" w:rsidRDefault="000F1DBD" w:rsidP="000F1DBD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7BC6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sytuacja finansowa ostatecznego</w:t>
            </w:r>
          </w:p>
          <w:p w14:paraId="5EE1457A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odbiorcy nie zagraża realizacji i utrzymaniu rezultatów przedsięwzięcia?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3E67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AA2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419E0" w:rsidRPr="00C419E0" w14:paraId="7DBA6B28" w14:textId="77777777" w:rsidTr="000F1DBD">
        <w:trPr>
          <w:trHeight w:val="5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8D1" w14:textId="77777777" w:rsidR="000F1DBD" w:rsidRPr="00C419E0" w:rsidRDefault="000F1DBD" w:rsidP="000F1DBD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3BD2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przedstawione zostały wiarygodne źródła współfinansowania przedsięwzięcia (o</w:t>
            </w:r>
          </w:p>
          <w:p w14:paraId="468E9E5C" w14:textId="77777777" w:rsidR="000F1DBD" w:rsidRPr="00C419E0" w:rsidRDefault="000F1DBD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ile takie jest wymagane dla jego realizacji)?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1CAA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F83" w14:textId="77777777" w:rsidR="000F1DBD" w:rsidRPr="00C419E0" w:rsidRDefault="000F1DB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bookmarkEnd w:id="4"/>
      </w:tr>
    </w:tbl>
    <w:p w14:paraId="5E5B16E2" w14:textId="77777777" w:rsidR="000F1DBD" w:rsidRPr="0068657F" w:rsidRDefault="000F1DBD" w:rsidP="00F216E3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p w14:paraId="52EE17C3" w14:textId="57FEEFF9" w:rsidR="008A1CF9" w:rsidRPr="00C419E0" w:rsidRDefault="008A1CF9" w:rsidP="008A1CF9">
      <w:pPr>
        <w:rPr>
          <w:rFonts w:ascii="Open Sans Light" w:hAnsi="Open Sans Light" w:cs="Open Sans Light"/>
          <w:b/>
          <w:sz w:val="20"/>
          <w:szCs w:val="20"/>
        </w:rPr>
      </w:pPr>
      <w:r w:rsidRPr="00562855">
        <w:rPr>
          <w:rFonts w:ascii="Open Sans Light" w:hAnsi="Open Sans Light" w:cs="Open Sans Light"/>
          <w:b/>
          <w:sz w:val="20"/>
          <w:szCs w:val="20"/>
        </w:rPr>
        <w:t>Kryterium horyzontalne nr 8.</w:t>
      </w:r>
      <w:r w:rsidRPr="00562855">
        <w:rPr>
          <w:rFonts w:ascii="Open Sans Light" w:hAnsi="Open Sans Light" w:cs="Open Sans Light"/>
          <w:b/>
          <w:sz w:val="20"/>
          <w:szCs w:val="20"/>
        </w:rPr>
        <w:tab/>
        <w:t xml:space="preserve">Pomoc publiczna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2C403A" w:rsidRPr="002C403A" w14:paraId="58FE3DC9" w14:textId="77777777" w:rsidTr="00432C20">
        <w:tc>
          <w:tcPr>
            <w:tcW w:w="959" w:type="dxa"/>
            <w:shd w:val="clear" w:color="auto" w:fill="E2EFD9"/>
            <w:vAlign w:val="center"/>
          </w:tcPr>
          <w:p w14:paraId="13127600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6458F87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5A00A5A" w14:textId="64AE5E68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 w:rsidR="000F1DBD"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7BA1682" w14:textId="77777777" w:rsidR="008A1CF9" w:rsidRPr="00C419E0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2C403A" w:rsidRPr="00562855" w14:paraId="08F7C67A" w14:textId="77777777" w:rsidTr="00432C20">
        <w:trPr>
          <w:trHeight w:val="544"/>
        </w:trPr>
        <w:tc>
          <w:tcPr>
            <w:tcW w:w="959" w:type="dxa"/>
          </w:tcPr>
          <w:p w14:paraId="1E8B66B7" w14:textId="594FB2D5" w:rsidR="008A1CF9" w:rsidRPr="00562855" w:rsidRDefault="00974928" w:rsidP="008A1CF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8A1CF9" w:rsidRPr="00562855">
              <w:rPr>
                <w:rFonts w:ascii="Open Sans Light" w:hAnsi="Open Sans Light" w:cs="Open Sans Light"/>
                <w:b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71898ED9" w14:textId="070F4A22" w:rsidR="008A1CF9" w:rsidRPr="00562855" w:rsidRDefault="008A1CF9" w:rsidP="00344674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628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przedsięwzięcie spełnia </w:t>
            </w:r>
            <w:r w:rsidR="00296B6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warunki określone we właściwych przepisach o pomocy publicznej? </w:t>
            </w:r>
          </w:p>
        </w:tc>
        <w:tc>
          <w:tcPr>
            <w:tcW w:w="1134" w:type="dxa"/>
          </w:tcPr>
          <w:p w14:paraId="453A1245" w14:textId="77777777" w:rsidR="008A1CF9" w:rsidRPr="00562855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DBA939" w14:textId="77777777" w:rsidR="008A1CF9" w:rsidRPr="00562855" w:rsidRDefault="008A1CF9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D2450EF" w14:textId="77777777" w:rsidR="008A1CF9" w:rsidRPr="00562855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DFB3349" w14:textId="77777777" w:rsidR="008A1CF9" w:rsidRPr="00562855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3485162B" w14:textId="7EDDE6CF" w:rsidR="0068657F" w:rsidRPr="00562855" w:rsidRDefault="0068657F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62855">
        <w:rPr>
          <w:rFonts w:ascii="Open Sans Light" w:hAnsi="Open Sans Light" w:cs="Open Sans Light"/>
          <w:b/>
          <w:sz w:val="20"/>
          <w:szCs w:val="20"/>
        </w:rPr>
        <w:t xml:space="preserve">Kryterium horyzontalne nr 9. </w:t>
      </w:r>
      <w:r w:rsidRPr="00562855">
        <w:rPr>
          <w:rFonts w:ascii="Open Sans Light" w:hAnsi="Open Sans Light" w:cs="Open Sans Light"/>
          <w:b/>
          <w:sz w:val="20"/>
          <w:szCs w:val="20"/>
        </w:rPr>
        <w:tab/>
        <w:t xml:space="preserve">Zgodność z zasadą „niewyrządzania znaczącej szkody środowisku” (DNSH – „do no </w:t>
      </w:r>
      <w:proofErr w:type="spellStart"/>
      <w:r w:rsidRPr="00562855">
        <w:rPr>
          <w:rFonts w:ascii="Open Sans Light" w:hAnsi="Open Sans Light" w:cs="Open Sans Light"/>
          <w:b/>
          <w:sz w:val="20"/>
          <w:szCs w:val="20"/>
        </w:rPr>
        <w:t>significant</w:t>
      </w:r>
      <w:proofErr w:type="spellEnd"/>
      <w:r w:rsidRPr="00562855">
        <w:rPr>
          <w:rFonts w:ascii="Open Sans Light" w:hAnsi="Open Sans Light" w:cs="Open Sans Light"/>
          <w:b/>
          <w:sz w:val="20"/>
          <w:szCs w:val="20"/>
        </w:rPr>
        <w:t xml:space="preserve"> </w:t>
      </w:r>
      <w:proofErr w:type="spellStart"/>
      <w:r w:rsidRPr="00562855">
        <w:rPr>
          <w:rFonts w:ascii="Open Sans Light" w:hAnsi="Open Sans Light" w:cs="Open Sans Light"/>
          <w:b/>
          <w:sz w:val="20"/>
          <w:szCs w:val="20"/>
        </w:rPr>
        <w:t>harm</w:t>
      </w:r>
      <w:proofErr w:type="spellEnd"/>
      <w:r w:rsidRPr="00562855">
        <w:rPr>
          <w:rFonts w:ascii="Open Sans Light" w:hAnsi="Open Sans Light" w:cs="Open Sans Light"/>
          <w:b/>
          <w:sz w:val="20"/>
          <w:szCs w:val="20"/>
        </w:rPr>
        <w:t>”)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8657F" w:rsidRPr="00D44DC8" w14:paraId="7855FB50" w14:textId="77777777" w:rsidTr="00432C20">
        <w:tc>
          <w:tcPr>
            <w:tcW w:w="959" w:type="dxa"/>
            <w:shd w:val="clear" w:color="auto" w:fill="E2EFD9"/>
            <w:vAlign w:val="center"/>
          </w:tcPr>
          <w:p w14:paraId="70B04C61" w14:textId="77777777" w:rsidR="0068657F" w:rsidRPr="00562855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562855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66F207F" w14:textId="77777777" w:rsidR="0068657F" w:rsidRPr="00562855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562855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03E7A55" w14:textId="77777777" w:rsidR="0068657F" w:rsidRPr="00562855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562855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57E7F2AF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562855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8657F" w:rsidRPr="00D44DC8" w14:paraId="012D9204" w14:textId="77777777" w:rsidTr="00432C20">
        <w:trPr>
          <w:trHeight w:val="544"/>
        </w:trPr>
        <w:tc>
          <w:tcPr>
            <w:tcW w:w="959" w:type="dxa"/>
          </w:tcPr>
          <w:p w14:paraId="159720CE" w14:textId="77777777" w:rsidR="0068657F" w:rsidRPr="00D44DC8" w:rsidRDefault="0068657F" w:rsidP="00432C20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1B3B4158" w14:textId="26265CAB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zachowano zgodność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z zasadą</w:t>
            </w:r>
          </w:p>
          <w:p w14:paraId="5408346F" w14:textId="08E85460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„niewyrządzania znaczącej szkody środowisku” na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podstawie Rozporządzenia RRF oraz Wytycznych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technicznych dotyczących stosowania zasady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„niewyrządzania znaczącej szkody środowisku” na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podstawie rozporządzenia ustanawiającego Instrument</w:t>
            </w:r>
          </w:p>
          <w:p w14:paraId="57E0F8BC" w14:textId="0E15D74B" w:rsidR="0068657F" w:rsidRPr="00704FE2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na rzecz Odbudowy i Zwiększania Odporności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B57AE0"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134" w:type="dxa"/>
          </w:tcPr>
          <w:p w14:paraId="6CB31DAF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86B72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2697B289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71DF6C47" w14:textId="16740E64" w:rsidR="00550ADD" w:rsidRPr="00D44DC8" w:rsidRDefault="00550ADD" w:rsidP="00550ADD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550ADD">
        <w:rPr>
          <w:rFonts w:ascii="Open Sans Light" w:hAnsi="Open Sans Light" w:cs="Open Sans Light"/>
          <w:b/>
          <w:sz w:val="20"/>
          <w:szCs w:val="20"/>
        </w:rPr>
        <w:t>Zgodność 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zrównoważonego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 xml:space="preserve">rozwoju </w:t>
      </w:r>
      <w:r>
        <w:rPr>
          <w:rFonts w:ascii="Open Sans Light" w:hAnsi="Open Sans Light" w:cs="Open Sans Light"/>
          <w:b/>
          <w:sz w:val="20"/>
          <w:szCs w:val="20"/>
        </w:rPr>
        <w:t xml:space="preserve">– </w:t>
      </w:r>
      <w:r w:rsidRPr="00550ADD">
        <w:rPr>
          <w:rFonts w:ascii="Open Sans Light" w:hAnsi="Open Sans Light" w:cs="Open Sans Light"/>
          <w:b/>
          <w:sz w:val="20"/>
          <w:szCs w:val="20"/>
        </w:rPr>
        <w:t>racjonalne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wykorzystywanie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zasobów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550ADD">
        <w:rPr>
          <w:rFonts w:ascii="Open Sans Light" w:hAnsi="Open Sans Light" w:cs="Open Sans Light"/>
          <w:b/>
          <w:sz w:val="20"/>
          <w:szCs w:val="20"/>
        </w:rPr>
        <w:t>naturalnych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550ADD" w:rsidRPr="00D44DC8" w14:paraId="65C7D548" w14:textId="77777777" w:rsidTr="00DB0C59">
        <w:tc>
          <w:tcPr>
            <w:tcW w:w="959" w:type="dxa"/>
            <w:shd w:val="clear" w:color="auto" w:fill="E2EFD9"/>
            <w:vAlign w:val="center"/>
          </w:tcPr>
          <w:p w14:paraId="2349D103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1E4253F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875D4D5" w14:textId="58D1779A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 w:rsidR="00832521"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B7294EB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550ADD" w:rsidRPr="00D44DC8" w14:paraId="41B57AC0" w14:textId="77777777" w:rsidTr="00DB0C59">
        <w:trPr>
          <w:trHeight w:val="544"/>
        </w:trPr>
        <w:tc>
          <w:tcPr>
            <w:tcW w:w="959" w:type="dxa"/>
          </w:tcPr>
          <w:p w14:paraId="3E4E2A29" w14:textId="77777777" w:rsidR="00550ADD" w:rsidRPr="00D44DC8" w:rsidRDefault="00550ADD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485E35FB" w14:textId="75877A49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zy przedsięwzięcie obejmuje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finansowanie działań minimalizujących oddziaływanie</w:t>
            </w:r>
          </w:p>
          <w:p w14:paraId="6149C80E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działalności człowieka na środowisko. Zasada</w:t>
            </w:r>
          </w:p>
          <w:p w14:paraId="668CB42C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zrównoważonego rozwoju jest zachowana, jeżeli</w:t>
            </w:r>
          </w:p>
          <w:p w14:paraId="0B1F8F1D" w14:textId="65AED816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w ramach przedsięwzięcia zakłada się podejmowanie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działań ukierunkowanych na:</w:t>
            </w:r>
          </w:p>
          <w:p w14:paraId="54C1FE8F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racjonalne gospodarowanie zasobami;</w:t>
            </w:r>
          </w:p>
          <w:p w14:paraId="314FA88A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ograniczenie presji na środowisko;</w:t>
            </w:r>
          </w:p>
          <w:p w14:paraId="580181E2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uwzględnianie efektów środowiskowych</w:t>
            </w:r>
          </w:p>
          <w:p w14:paraId="4CE0AD71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 zarządzaniu;</w:t>
            </w:r>
          </w:p>
          <w:p w14:paraId="626AA8EE" w14:textId="77777777" w:rsidR="00832521" w:rsidRPr="00832521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podnoszenie świadomości ekologicznej</w:t>
            </w:r>
          </w:p>
          <w:p w14:paraId="3874E5DC" w14:textId="402F11C5" w:rsidR="00550ADD" w:rsidRPr="00704FE2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832521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społeczeństwa.</w:t>
            </w:r>
            <w:r>
              <w:rPr>
                <w:rStyle w:val="Odwoanieprzypisudolnego"/>
                <w:rFonts w:ascii="Open Sans Light" w:hAnsi="Open Sans Light" w:cs="Open Sans Light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</w:tcPr>
          <w:p w14:paraId="77A2F126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0A42E7" w14:textId="77777777" w:rsidR="00550ADD" w:rsidRPr="00D44DC8" w:rsidRDefault="00550ADD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C9E1F3A" w14:textId="6A32E1A1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324CF3" w14:textId="77777777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5DD78E57" w14:textId="77777777" w:rsidR="00FB1E19" w:rsidRDefault="00FB1E19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55E461EB" w14:textId="14D00D62" w:rsidR="0068657F" w:rsidRPr="00D44DC8" w:rsidRDefault="0068657F" w:rsidP="0068657F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11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68657F">
        <w:rPr>
          <w:rFonts w:ascii="Open Sans Light" w:hAnsi="Open Sans Light" w:cs="Open Sans Light"/>
          <w:b/>
          <w:sz w:val="20"/>
          <w:szCs w:val="20"/>
        </w:rPr>
        <w:t>Zgodność z zasadą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długotrwałego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wpływu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przedsięwzięcia na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wydajność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i odporność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68657F">
        <w:rPr>
          <w:rFonts w:ascii="Open Sans Light" w:hAnsi="Open Sans Light" w:cs="Open Sans Light"/>
          <w:b/>
          <w:sz w:val="20"/>
          <w:szCs w:val="20"/>
        </w:rPr>
        <w:t>gospodarki polskiej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8657F" w:rsidRPr="00D44DC8" w14:paraId="6B515473" w14:textId="77777777" w:rsidTr="00432C20">
        <w:tc>
          <w:tcPr>
            <w:tcW w:w="959" w:type="dxa"/>
            <w:shd w:val="clear" w:color="auto" w:fill="E2EFD9"/>
            <w:vAlign w:val="center"/>
          </w:tcPr>
          <w:p w14:paraId="358D4C1D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8ADC2E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D1B3E56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69332CFA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8657F" w:rsidRPr="00D44DC8" w14:paraId="32EE6416" w14:textId="77777777" w:rsidTr="00432C20">
        <w:trPr>
          <w:trHeight w:val="544"/>
        </w:trPr>
        <w:tc>
          <w:tcPr>
            <w:tcW w:w="959" w:type="dxa"/>
          </w:tcPr>
          <w:p w14:paraId="2A21B39E" w14:textId="77777777" w:rsidR="0068657F" w:rsidRPr="00D44DC8" w:rsidRDefault="0068657F" w:rsidP="00432C20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CF092B4" w14:textId="12C72CAA" w:rsidR="0068657F" w:rsidRPr="0068657F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zy realizacja przedsięwzięcia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zapewnia efekty długoterminowe, tzn. przekraczające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ramy czasowe obowiązywania RRF i nie ma charakteru</w:t>
            </w:r>
          </w:p>
          <w:p w14:paraId="431035D4" w14:textId="0A1A2E91" w:rsidR="0068657F" w:rsidRPr="00704FE2" w:rsidRDefault="0068657F" w:rsidP="0068657F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8657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powtarzających się krajowych wydatków budżetowych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5FEDD823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289938D" w14:textId="77777777" w:rsidR="0068657F" w:rsidRPr="00D44DC8" w:rsidRDefault="0068657F" w:rsidP="00432C2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F2B67E9" w14:textId="77777777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09E25F12" w14:textId="24322D1B" w:rsidR="00832521" w:rsidRPr="00D44DC8" w:rsidRDefault="00832521" w:rsidP="00832521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12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832521">
        <w:rPr>
          <w:rFonts w:ascii="Open Sans Light" w:hAnsi="Open Sans Light" w:cs="Open Sans Light"/>
          <w:b/>
          <w:sz w:val="20"/>
          <w:szCs w:val="20"/>
        </w:rPr>
        <w:t>Wpływ na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wskaźniki i cele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inwestycji w planie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rozwojowym i RRF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32521" w:rsidRPr="00D44DC8" w14:paraId="27C26D47" w14:textId="77777777" w:rsidTr="00DB0C59">
        <w:tc>
          <w:tcPr>
            <w:tcW w:w="959" w:type="dxa"/>
            <w:shd w:val="clear" w:color="auto" w:fill="E2EFD9"/>
            <w:vAlign w:val="center"/>
          </w:tcPr>
          <w:p w14:paraId="4C65F959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F1BB3EE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4D2A12D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7F7E34F4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32521" w:rsidRPr="00D44DC8" w14:paraId="2A0EE2A9" w14:textId="77777777" w:rsidTr="00DB0C59">
        <w:trPr>
          <w:trHeight w:val="544"/>
        </w:trPr>
        <w:tc>
          <w:tcPr>
            <w:tcW w:w="959" w:type="dxa"/>
          </w:tcPr>
          <w:p w14:paraId="68E7015A" w14:textId="77777777" w:rsidR="00832521" w:rsidRPr="00D44DC8" w:rsidRDefault="00832521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47ACDAFB" w14:textId="5E44E3C1" w:rsidR="00832521" w:rsidRPr="00C419E0" w:rsidRDefault="00832521" w:rsidP="00832521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 xml:space="preserve">Czy przedsięwzięcie ma pozytywny i bezpośredni wpływ na wskaźniki i cele określone w planie rozwojowym (decyzji implementacyjnej), jak również wskaźniki wspólne, a metodyka ich wyliczania jest wiarygodna? </w:t>
            </w:r>
            <w:r w:rsidRPr="00C419E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1134" w:type="dxa"/>
          </w:tcPr>
          <w:p w14:paraId="4D599E02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0F8FDE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0A44A2D" w14:textId="181A2AEA" w:rsidR="008A1CF9" w:rsidRDefault="008A1CF9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2053293" w14:textId="77777777" w:rsidR="00832521" w:rsidRDefault="00832521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9E28604" w14:textId="34821FE9" w:rsidR="00832521" w:rsidRPr="00D44DC8" w:rsidRDefault="00832521" w:rsidP="00832521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550ADD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horyzontalne nr </w:t>
      </w:r>
      <w:r>
        <w:rPr>
          <w:rFonts w:ascii="Open Sans Light" w:hAnsi="Open Sans Light" w:cs="Open Sans Light"/>
          <w:b/>
          <w:sz w:val="20"/>
          <w:szCs w:val="20"/>
        </w:rPr>
        <w:t>13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832521">
        <w:rPr>
          <w:rFonts w:ascii="Open Sans Light" w:hAnsi="Open Sans Light" w:cs="Open Sans Light"/>
          <w:b/>
          <w:sz w:val="20"/>
          <w:szCs w:val="20"/>
        </w:rPr>
        <w:t>Adekwatność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wskaźników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własnych</w:t>
      </w:r>
      <w:r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832521">
        <w:rPr>
          <w:rFonts w:ascii="Open Sans Light" w:hAnsi="Open Sans Light" w:cs="Open Sans Light"/>
          <w:b/>
          <w:sz w:val="20"/>
          <w:szCs w:val="20"/>
        </w:rPr>
        <w:t>przedsięwzięcia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32521" w:rsidRPr="00D44DC8" w14:paraId="47CE23D2" w14:textId="77777777" w:rsidTr="00DB0C59">
        <w:tc>
          <w:tcPr>
            <w:tcW w:w="959" w:type="dxa"/>
            <w:shd w:val="clear" w:color="auto" w:fill="E2EFD9"/>
            <w:vAlign w:val="center"/>
          </w:tcPr>
          <w:p w14:paraId="623C2111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7CD6C4F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EC0D216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6488975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32521" w:rsidRPr="00D44DC8" w14:paraId="2B84AF20" w14:textId="77777777" w:rsidTr="00DB0C59">
        <w:trPr>
          <w:trHeight w:val="544"/>
        </w:trPr>
        <w:tc>
          <w:tcPr>
            <w:tcW w:w="959" w:type="dxa"/>
          </w:tcPr>
          <w:p w14:paraId="4A4112B8" w14:textId="77777777" w:rsidR="00832521" w:rsidRPr="00D44DC8" w:rsidRDefault="00832521" w:rsidP="00DB0C59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2229BF56" w14:textId="40071A29" w:rsidR="00832521" w:rsidRPr="00C419E0" w:rsidRDefault="00832521" w:rsidP="00832521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>Czy wskaźniki własne przedsięwzięcia (inne niż wskaźniki dla inwestycji w planie rozwojowym</w:t>
            </w:r>
          </w:p>
          <w:p w14:paraId="293EDD29" w14:textId="3552F175" w:rsidR="00832521" w:rsidRPr="00704FE2" w:rsidRDefault="00832521" w:rsidP="00832521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419E0">
              <w:rPr>
                <w:rFonts w:ascii="Open Sans Light" w:hAnsi="Open Sans Light" w:cs="Open Sans Light"/>
                <w:sz w:val="20"/>
                <w:szCs w:val="20"/>
              </w:rPr>
              <w:t>i wspólne wskaźniki na poziomie RRF) są adekwatne do celu i zakresu danego przedsięwzięcia oraz mierzalne i realne?</w:t>
            </w:r>
            <w:r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134" w:type="dxa"/>
          </w:tcPr>
          <w:p w14:paraId="6BB730BA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D550AB" w14:textId="77777777" w:rsidR="00832521" w:rsidRPr="00D44DC8" w:rsidRDefault="00832521" w:rsidP="00DB0C5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C7665FE" w14:textId="77777777" w:rsidR="00832521" w:rsidRDefault="00832521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4155BE48" w14:textId="77777777" w:rsidR="00F5757B" w:rsidRPr="00D44DC8" w:rsidRDefault="00F5757B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F1FB707" w:rsidR="005F22E6" w:rsidRPr="00C2552A" w:rsidRDefault="0068657F" w:rsidP="0068657F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>
              <w:rPr>
                <w:rFonts w:ascii="Open Sans Light" w:hAnsi="Open Sans Light" w:cs="Open Sans Light"/>
                <w:sz w:val="22"/>
                <w:szCs w:val="22"/>
              </w:rPr>
              <w:t>Projekt</w:t>
            </w:r>
            <w:r w:rsidR="005F22E6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spełnia 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7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122CB7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8AABC" w14:textId="77777777" w:rsidR="00982002" w:rsidRDefault="00982002">
      <w:r>
        <w:separator/>
      </w:r>
    </w:p>
  </w:endnote>
  <w:endnote w:type="continuationSeparator" w:id="0">
    <w:p w14:paraId="3FB8CAF4" w14:textId="77777777" w:rsidR="00982002" w:rsidRDefault="0098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5F404" w14:textId="6151C4AD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31F9E" w:rsidRPr="00A31F9E">
      <w:rPr>
        <w:rFonts w:ascii="Calibri Light" w:hAnsi="Calibri Light"/>
        <w:noProof/>
        <w:sz w:val="28"/>
        <w:szCs w:val="28"/>
      </w:rPr>
      <w:t>6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7210E" w14:textId="77777777" w:rsidR="00982002" w:rsidRDefault="00982002">
      <w:r>
        <w:separator/>
      </w:r>
    </w:p>
  </w:footnote>
  <w:footnote w:type="continuationSeparator" w:id="0">
    <w:p w14:paraId="4DAA83FC" w14:textId="77777777" w:rsidR="00982002" w:rsidRDefault="00982002">
      <w:r>
        <w:continuationSeparator/>
      </w:r>
    </w:p>
  </w:footnote>
  <w:footnote w:id="1">
    <w:p w14:paraId="50870044" w14:textId="50C8CA1D" w:rsidR="002C4511" w:rsidRPr="00C419E0" w:rsidRDefault="002C4511" w:rsidP="002C4511">
      <w:pPr>
        <w:pStyle w:val="Tekstprzypisudolnego"/>
        <w:rPr>
          <w:rFonts w:ascii="Open Sans" w:hAnsi="Open Sans" w:cs="Open Sans"/>
        </w:rPr>
      </w:pPr>
      <w:r w:rsidRPr="00C419E0">
        <w:rPr>
          <w:rStyle w:val="Odwoanieprzypisudolnego"/>
          <w:rFonts w:ascii="Open Sans" w:hAnsi="Open Sans" w:cs="Open Sans"/>
        </w:rPr>
        <w:footnoteRef/>
      </w:r>
      <w:r w:rsidRPr="00C419E0">
        <w:rPr>
          <w:rFonts w:ascii="Open Sans" w:hAnsi="Open Sans" w:cs="Open Sans"/>
        </w:rPr>
        <w:t xml:space="preserve"> W wyjątkowych sytuacjach dopuszczalne jest uznanie neutralności przedsięwzięcia w stosunku do zasady równości szans kobiet i mężczyzn, o ile ostateczny odbiorca wskaże szczegółowe uzasadnienie, dlaczego dane</w:t>
      </w:r>
      <w:r w:rsidR="00B57AE0">
        <w:rPr>
          <w:rFonts w:ascii="Open Sans" w:hAnsi="Open Sans" w:cs="Open Sans"/>
        </w:rPr>
        <w:t xml:space="preserve"> </w:t>
      </w:r>
      <w:r w:rsidRPr="00C419E0">
        <w:rPr>
          <w:rFonts w:ascii="Open Sans" w:hAnsi="Open Sans" w:cs="Open Sans"/>
        </w:rPr>
        <w:t>przedsięwzięcie nie jest w stanie zrealizować</w:t>
      </w:r>
      <w:r w:rsidR="00B57AE0">
        <w:rPr>
          <w:rFonts w:ascii="Open Sans" w:hAnsi="Open Sans" w:cs="Open Sans"/>
        </w:rPr>
        <w:t xml:space="preserve"> </w:t>
      </w:r>
      <w:r w:rsidRPr="00C419E0">
        <w:rPr>
          <w:rFonts w:ascii="Open Sans" w:hAnsi="Open Sans" w:cs="Open Sans"/>
        </w:rPr>
        <w:t xml:space="preserve">jakichkolwiek działań w tym zakresie;  </w:t>
      </w:r>
    </w:p>
  </w:footnote>
  <w:footnote w:id="2">
    <w:p w14:paraId="26253137" w14:textId="70CAC8DA" w:rsidR="002C4511" w:rsidRDefault="002C4511">
      <w:pPr>
        <w:pStyle w:val="Tekstprzypisudolnego"/>
      </w:pPr>
      <w:r w:rsidRPr="00C419E0">
        <w:rPr>
          <w:rStyle w:val="Odwoanieprzypisudolnego"/>
          <w:rFonts w:ascii="Open Sans" w:hAnsi="Open Sans" w:cs="Open Sans"/>
        </w:rPr>
        <w:footnoteRef/>
      </w:r>
      <w:r w:rsidRPr="00C419E0">
        <w:rPr>
          <w:rFonts w:ascii="Open Sans" w:hAnsi="Open Sans" w:cs="Open Sans"/>
        </w:rPr>
        <w:t xml:space="preserve"> W wyjątkowych sytuacjach dopuszczalne jest uznanie neutralności produktu przedsięwzięcia w stosunku do niniejszej zasady, o ile ostateczny odbiorca wskaże szczegółowe uzasadnienie, dlaczego dany produkt przedsięwzięcia nie jest w stanie zrealizować jakichkolwiek działań w tym zakresie</w:t>
      </w:r>
    </w:p>
  </w:footnote>
  <w:footnote w:id="3">
    <w:p w14:paraId="76F11F0D" w14:textId="04DAB9DE" w:rsidR="00B57AE0" w:rsidRPr="00C419E0" w:rsidRDefault="00B57AE0" w:rsidP="00B57AE0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C419E0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C419E0">
        <w:rPr>
          <w:rFonts w:ascii="Open Sans" w:hAnsi="Open Sans" w:cs="Open Sans"/>
          <w:sz w:val="22"/>
          <w:szCs w:val="22"/>
        </w:rPr>
        <w:t>eryfikacja na etapie oceny wniosku o objęcie wsparciem dotyczy inwestycji, dla których w decyzji implementacyjnej wskazano objęcie przedsięwzięć zasadą DNSH.</w:t>
      </w:r>
    </w:p>
  </w:footnote>
  <w:footnote w:id="4">
    <w:p w14:paraId="68C98549" w14:textId="6B07CF09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19E0">
        <w:rPr>
          <w:rFonts w:ascii="Open Sans" w:hAnsi="Open Sans" w:cs="Open Sans"/>
          <w:sz w:val="22"/>
          <w:szCs w:val="22"/>
        </w:rPr>
        <w:t>W przypadku kiedy przedsięwzięcie nie jest objęte zasadą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zrównoważonego rozwoju, należy wskazać ‘nie dotyczy’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wraz z uzasadnieniem.</w:t>
      </w:r>
    </w:p>
  </w:footnote>
  <w:footnote w:id="5">
    <w:p w14:paraId="145A330C" w14:textId="25796418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19E0">
        <w:rPr>
          <w:rFonts w:ascii="Open Sans" w:hAnsi="Open Sans" w:cs="Open Sans"/>
          <w:sz w:val="22"/>
          <w:szCs w:val="22"/>
        </w:rPr>
        <w:t>Spełnienie kryterium oznacza, iż realizacja danego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przedsięwzięcia przyczynia się do osiągnięcia celu i/lub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wskaźnika dla danej inwestycji w planie rozwojowym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i/lub realizuje wspólne wskaźniki na poziomie RRF (jeżeli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dotyczy).</w:t>
      </w:r>
    </w:p>
    <w:p w14:paraId="13E25588" w14:textId="5CB64A80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Fonts w:ascii="Open Sans" w:hAnsi="Open Sans" w:cs="Open Sans"/>
          <w:sz w:val="22"/>
          <w:szCs w:val="22"/>
        </w:rPr>
        <w:t>W przypadku gdy przedsięwzięcie nie wpływa na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realizację wskaźników i celów planu rozwojowego, należy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419E0">
        <w:rPr>
          <w:rFonts w:ascii="Open Sans" w:hAnsi="Open Sans" w:cs="Open Sans"/>
          <w:sz w:val="22"/>
          <w:szCs w:val="22"/>
        </w:rPr>
        <w:t>wskazać ‘nie dotyczy’ wraz z uzasadnieniem</w:t>
      </w:r>
      <w:r>
        <w:rPr>
          <w:rFonts w:ascii="Open Sans" w:hAnsi="Open Sans" w:cs="Open Sans"/>
          <w:sz w:val="22"/>
          <w:szCs w:val="22"/>
        </w:rPr>
        <w:t>.</w:t>
      </w:r>
    </w:p>
  </w:footnote>
  <w:footnote w:id="6">
    <w:p w14:paraId="4A05D6EB" w14:textId="15E61623" w:rsidR="00832521" w:rsidRPr="00C419E0" w:rsidRDefault="00832521" w:rsidP="00832521">
      <w:pPr>
        <w:pStyle w:val="Tekstprzypisudolnego"/>
        <w:rPr>
          <w:rFonts w:ascii="Open Sans" w:hAnsi="Open Sans" w:cs="Open Sans"/>
          <w:sz w:val="22"/>
          <w:szCs w:val="22"/>
        </w:rPr>
      </w:pPr>
      <w:r w:rsidRPr="00C419E0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C419E0">
        <w:rPr>
          <w:rFonts w:ascii="Open Sans" w:hAnsi="Open Sans" w:cs="Open Sans"/>
          <w:sz w:val="22"/>
          <w:szCs w:val="22"/>
        </w:rPr>
        <w:t xml:space="preserve"> W przypadku gdy przedsięwzięcie nie ma wskaźników własnych, należy wskazać ‘nie dotyczy’.</w:t>
      </w:r>
    </w:p>
  </w:footnote>
  <w:footnote w:id="7">
    <w:p w14:paraId="3863DFB8" w14:textId="10B6FD56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="0068657F" w:rsidRPr="00C2552A">
        <w:rPr>
          <w:rFonts w:ascii="Open Sans Light" w:hAnsi="Open Sans Light" w:cs="Open Sans Light"/>
          <w:sz w:val="22"/>
          <w:szCs w:val="22"/>
        </w:rPr>
        <w:t>zwrot do beneficjenta z prośbą o uzupełnienie</w:t>
      </w:r>
      <w:r w:rsidR="0068657F">
        <w:rPr>
          <w:rFonts w:ascii="Open Sans Light" w:hAnsi="Open Sans Light" w:cs="Open Sans Light"/>
          <w:sz w:val="22"/>
          <w:szCs w:val="22"/>
        </w:rPr>
        <w:t>/projekt oceniony pozytywnie/</w:t>
      </w:r>
      <w:r w:rsidR="0068657F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>projekt odrzucony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A7C45"/>
    <w:multiLevelType w:val="hybridMultilevel"/>
    <w:tmpl w:val="9C364D3C"/>
    <w:lvl w:ilvl="0" w:tplc="6860CB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2716D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E21E7"/>
    <w:multiLevelType w:val="hybridMultilevel"/>
    <w:tmpl w:val="7054D6EA"/>
    <w:lvl w:ilvl="0" w:tplc="93D4C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A42C74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B54BF"/>
    <w:multiLevelType w:val="hybridMultilevel"/>
    <w:tmpl w:val="7C3A373A"/>
    <w:lvl w:ilvl="0" w:tplc="6860CB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768921">
    <w:abstractNumId w:val="2"/>
  </w:num>
  <w:num w:numId="2" w16cid:durableId="375200376">
    <w:abstractNumId w:val="7"/>
  </w:num>
  <w:num w:numId="3" w16cid:durableId="830868614">
    <w:abstractNumId w:val="0"/>
  </w:num>
  <w:num w:numId="4" w16cid:durableId="1635404823">
    <w:abstractNumId w:val="9"/>
  </w:num>
  <w:num w:numId="5" w16cid:durableId="1689984425">
    <w:abstractNumId w:val="1"/>
  </w:num>
  <w:num w:numId="6" w16cid:durableId="1280140149">
    <w:abstractNumId w:val="10"/>
  </w:num>
  <w:num w:numId="7" w16cid:durableId="1725636270">
    <w:abstractNumId w:val="4"/>
  </w:num>
  <w:num w:numId="8" w16cid:durableId="1077748403">
    <w:abstractNumId w:val="8"/>
  </w:num>
  <w:num w:numId="9" w16cid:durableId="1538396658">
    <w:abstractNumId w:val="11"/>
  </w:num>
  <w:num w:numId="10" w16cid:durableId="1875269249">
    <w:abstractNumId w:val="6"/>
  </w:num>
  <w:num w:numId="11" w16cid:durableId="1538424736">
    <w:abstractNumId w:val="5"/>
  </w:num>
  <w:num w:numId="12" w16cid:durableId="463305393">
    <w:abstractNumId w:val="3"/>
  </w:num>
  <w:num w:numId="13" w16cid:durableId="11758001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27188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9425C"/>
    <w:rsid w:val="000A3010"/>
    <w:rsid w:val="000B0EDE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1DBD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2CB7"/>
    <w:rsid w:val="00125AA5"/>
    <w:rsid w:val="00134671"/>
    <w:rsid w:val="001418C1"/>
    <w:rsid w:val="00143012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5264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96B65"/>
    <w:rsid w:val="002A67C0"/>
    <w:rsid w:val="002A7428"/>
    <w:rsid w:val="002B0CD4"/>
    <w:rsid w:val="002B12DE"/>
    <w:rsid w:val="002B229B"/>
    <w:rsid w:val="002B7891"/>
    <w:rsid w:val="002C0DA3"/>
    <w:rsid w:val="002C403A"/>
    <w:rsid w:val="002C4511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0C03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4674"/>
    <w:rsid w:val="00347A03"/>
    <w:rsid w:val="003502B2"/>
    <w:rsid w:val="00350761"/>
    <w:rsid w:val="003607A9"/>
    <w:rsid w:val="0036119E"/>
    <w:rsid w:val="0036396C"/>
    <w:rsid w:val="00364FBD"/>
    <w:rsid w:val="00375C8C"/>
    <w:rsid w:val="00375F4A"/>
    <w:rsid w:val="003772A1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7E9"/>
    <w:rsid w:val="00411CFC"/>
    <w:rsid w:val="004211A0"/>
    <w:rsid w:val="00421B20"/>
    <w:rsid w:val="00430CA4"/>
    <w:rsid w:val="0043153E"/>
    <w:rsid w:val="00433A0C"/>
    <w:rsid w:val="004343C6"/>
    <w:rsid w:val="00434A9B"/>
    <w:rsid w:val="00434BE8"/>
    <w:rsid w:val="00434D3D"/>
    <w:rsid w:val="00436C1E"/>
    <w:rsid w:val="00436DB4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849CB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37014"/>
    <w:rsid w:val="005407B9"/>
    <w:rsid w:val="0054353A"/>
    <w:rsid w:val="00543723"/>
    <w:rsid w:val="00545461"/>
    <w:rsid w:val="00546B7D"/>
    <w:rsid w:val="00550ADD"/>
    <w:rsid w:val="0055612B"/>
    <w:rsid w:val="00560906"/>
    <w:rsid w:val="00562855"/>
    <w:rsid w:val="00566239"/>
    <w:rsid w:val="0056687E"/>
    <w:rsid w:val="00567A5B"/>
    <w:rsid w:val="00570AEA"/>
    <w:rsid w:val="00574C6B"/>
    <w:rsid w:val="005751A7"/>
    <w:rsid w:val="005766CD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D9"/>
    <w:rsid w:val="005F22E6"/>
    <w:rsid w:val="005F3C11"/>
    <w:rsid w:val="005F4C71"/>
    <w:rsid w:val="005F7BB1"/>
    <w:rsid w:val="00602A17"/>
    <w:rsid w:val="00603869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8657F"/>
    <w:rsid w:val="006916A2"/>
    <w:rsid w:val="00693119"/>
    <w:rsid w:val="006A40B1"/>
    <w:rsid w:val="006A5980"/>
    <w:rsid w:val="006A63B9"/>
    <w:rsid w:val="006A6CC7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4FE2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2521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95A98"/>
    <w:rsid w:val="008A1CF9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0A2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4928"/>
    <w:rsid w:val="00975CC1"/>
    <w:rsid w:val="00982002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1F9E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863CC"/>
    <w:rsid w:val="00A949BD"/>
    <w:rsid w:val="00A9571A"/>
    <w:rsid w:val="00A968B0"/>
    <w:rsid w:val="00A97742"/>
    <w:rsid w:val="00AA5055"/>
    <w:rsid w:val="00AB1D71"/>
    <w:rsid w:val="00AB212D"/>
    <w:rsid w:val="00AB34B8"/>
    <w:rsid w:val="00AB6004"/>
    <w:rsid w:val="00AB73C4"/>
    <w:rsid w:val="00AC19C4"/>
    <w:rsid w:val="00AD0CD7"/>
    <w:rsid w:val="00AD3D24"/>
    <w:rsid w:val="00AD7BEE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12C0"/>
    <w:rsid w:val="00B553A5"/>
    <w:rsid w:val="00B57AE0"/>
    <w:rsid w:val="00B60294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5A4B"/>
    <w:rsid w:val="00C27920"/>
    <w:rsid w:val="00C31AA3"/>
    <w:rsid w:val="00C333CF"/>
    <w:rsid w:val="00C351B9"/>
    <w:rsid w:val="00C419E0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3C60"/>
    <w:rsid w:val="00CD4CBE"/>
    <w:rsid w:val="00CD6344"/>
    <w:rsid w:val="00CE2963"/>
    <w:rsid w:val="00CE5188"/>
    <w:rsid w:val="00CE6192"/>
    <w:rsid w:val="00CE621F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84222"/>
    <w:rsid w:val="00D90881"/>
    <w:rsid w:val="00D92C1C"/>
    <w:rsid w:val="00DA4510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C517A"/>
    <w:rsid w:val="00EC65D8"/>
    <w:rsid w:val="00ED0B3B"/>
    <w:rsid w:val="00ED2311"/>
    <w:rsid w:val="00ED2CCA"/>
    <w:rsid w:val="00ED3590"/>
    <w:rsid w:val="00ED5C3C"/>
    <w:rsid w:val="00EE34F5"/>
    <w:rsid w:val="00EF57FB"/>
    <w:rsid w:val="00EF608F"/>
    <w:rsid w:val="00EF757C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16F9A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67E11"/>
    <w:rsid w:val="00F72BE8"/>
    <w:rsid w:val="00F73698"/>
    <w:rsid w:val="00F77027"/>
    <w:rsid w:val="00F771C1"/>
    <w:rsid w:val="00F776D3"/>
    <w:rsid w:val="00F835F7"/>
    <w:rsid w:val="00F9292E"/>
    <w:rsid w:val="00F95D30"/>
    <w:rsid w:val="00F95D98"/>
    <w:rsid w:val="00F9682E"/>
    <w:rsid w:val="00F97890"/>
    <w:rsid w:val="00FA503C"/>
    <w:rsid w:val="00FA68F8"/>
    <w:rsid w:val="00FB0F4D"/>
    <w:rsid w:val="00FB1DBF"/>
    <w:rsid w:val="00FB1E19"/>
    <w:rsid w:val="00FB3A49"/>
    <w:rsid w:val="00FC1A85"/>
    <w:rsid w:val="00FC33E7"/>
    <w:rsid w:val="00FC651B"/>
    <w:rsid w:val="00FD006B"/>
    <w:rsid w:val="00FD3846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42B2-1073-4E80-AA72-9268BF1F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Karasek Dawid</cp:lastModifiedBy>
  <cp:revision>22</cp:revision>
  <cp:lastPrinted>2019-11-26T12:24:00Z</cp:lastPrinted>
  <dcterms:created xsi:type="dcterms:W3CDTF">2025-01-22T09:11:00Z</dcterms:created>
  <dcterms:modified xsi:type="dcterms:W3CDTF">2025-02-13T07:37:00Z</dcterms:modified>
</cp:coreProperties>
</file>